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olor w:val="000000" w:themeColor="text1"/>
          <w:sz w:val="44"/>
          <w:szCs w:val="44"/>
          <w:lang w:val="en-US" w:eastAsia="zh-CN"/>
          <w14:textFill>
            <w14:solidFill>
              <w14:schemeClr w14:val="tx1"/>
            </w14:solidFill>
          </w14:textFill>
        </w:rPr>
        <w:t>旅游学院2026年退役大学生士兵专升本</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olor w:val="000000" w:themeColor="text1"/>
          <w:sz w:val="44"/>
          <w:szCs w:val="44"/>
          <w:lang w:val="en-US" w:eastAsia="zh-CN"/>
          <w14:textFill>
            <w14:solidFill>
              <w14:schemeClr w14:val="tx1"/>
            </w14:solidFill>
          </w14:textFill>
        </w:rPr>
        <w:t>免试综合考查工作实施细则</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highlight w:val="none"/>
        </w:rPr>
        <w:t>根</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据《海南省教育厅关于做好2026年我省普通高等学校专升本考试招生工作的通知》文件要求，为做好海南热带海洋学院旅游学院2026年退役大学生士兵专升本免试综合考查工作，确保招生工作公平、公正、公开，特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一</w:t>
      </w:r>
      <w:r>
        <w:rPr>
          <w:rFonts w:hint="eastAsia" w:ascii="黑体" w:hAnsi="黑体" w:eastAsia="黑体" w:cs="黑体"/>
          <w:b/>
          <w:bCs/>
          <w:sz w:val="32"/>
          <w:szCs w:val="32"/>
          <w:highlight w:val="none"/>
        </w:rPr>
        <w:t>、</w:t>
      </w:r>
      <w:r>
        <w:rPr>
          <w:rFonts w:hint="eastAsia" w:ascii="黑体" w:hAnsi="黑体" w:eastAsia="黑体" w:cs="黑体"/>
          <w:b/>
          <w:bCs/>
          <w:sz w:val="32"/>
          <w:szCs w:val="32"/>
          <w:highlight w:val="none"/>
          <w:lang w:val="en-US" w:eastAsia="zh-CN"/>
        </w:rPr>
        <w:t>综合</w:t>
      </w:r>
      <w:r>
        <w:rPr>
          <w:rFonts w:hint="eastAsia" w:ascii="黑体" w:hAnsi="黑体" w:eastAsia="黑体" w:cs="黑体"/>
          <w:b/>
          <w:bCs/>
          <w:sz w:val="32"/>
          <w:szCs w:val="32"/>
          <w:highlight w:val="none"/>
        </w:rPr>
        <w:t>考查工作安排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highlight w:val="none"/>
          <w:lang w:val="en-US" w:eastAsia="zh-CN"/>
        </w:rPr>
        <w:t>（一）综合考查时间地点及入校准备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1.综合考查分为四场，考生根据自己综合考查场次的对应时间进行报到；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2.报到地点：海南热带海洋学院三亚校区</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3号教学楼102</w:t>
      </w:r>
      <w:r>
        <w:rPr>
          <w:rFonts w:hint="eastAsia" w:ascii="仿宋_GB2312" w:hAnsi="仿宋_GB2312" w:eastAsia="仿宋_GB2312" w:cs="仿宋_GB2312"/>
          <w:sz w:val="32"/>
          <w:szCs w:val="32"/>
          <w:highlight w:val="none"/>
          <w:lang w:val="en-US" w:eastAsia="zh-CN"/>
        </w:rPr>
        <w:t>教室；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3.考生请携带居民身份证及退出现役证从海南热带海洋学院三亚校区正门（南门）进校；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4.考生报到后抽签决定考查顺序；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5.考生报到后需将手机等电子通讯设备交由考务人员保管，考查结束后取回并迅速离开综合考查区域不得逗留；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6.上午</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场8</w:t>
      </w:r>
      <w:r>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30</w:t>
      </w:r>
      <w:r>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下午场14</w:t>
      </w:r>
      <w:r>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00考查</w:t>
      </w:r>
      <w:r>
        <w:rPr>
          <w:rFonts w:hint="eastAsia" w:ascii="仿宋_GB2312" w:hAnsi="仿宋_GB2312" w:eastAsia="仿宋_GB2312" w:cs="仿宋_GB2312"/>
          <w:sz w:val="32"/>
          <w:szCs w:val="32"/>
          <w:highlight w:val="none"/>
          <w:lang w:val="en-US" w:eastAsia="zh-CN"/>
        </w:rPr>
        <w:t>正式开始，迟到人员停止报到，取消考查资格。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（二）考查方式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综合考查采取现场面试方式进行，考查时间每人</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sz w:val="32"/>
          <w:szCs w:val="32"/>
          <w:highlight w:val="none"/>
          <w:lang w:val="en-US" w:eastAsia="zh-CN"/>
        </w:rPr>
        <w:t>分钟。面试过程全程录音录像，确保公平公正。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（三）面试流程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1.考生入场：考生依次进入考场，主考官宣布“面试开始”，计时员随即启动计时。面试时长不超过</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10分</w:t>
      </w:r>
      <w:r>
        <w:rPr>
          <w:rFonts w:hint="eastAsia" w:ascii="仿宋_GB2312" w:hAnsi="仿宋_GB2312" w:eastAsia="仿宋_GB2312" w:cs="仿宋_GB2312"/>
          <w:sz w:val="32"/>
          <w:szCs w:val="32"/>
          <w:highlight w:val="none"/>
          <w:lang w:val="en-US" w:eastAsia="zh-CN"/>
        </w:rPr>
        <w:t>钟，考生</w:t>
      </w:r>
      <w:r>
        <w:rPr>
          <w:rFonts w:hint="default"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lang w:val="en-US" w:eastAsia="zh-CN"/>
        </w:rPr>
        <w:t>在规定时间内完成答题及回答考官提问。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2.答题：考生进入考场根据主考官出示题目进行作答。在此过程中，考官将根据考生表现进一步提出问题，考生需清晰、准确地进行回答。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3.评分环节：考官将认真听取考生的答辩内容，并依据既定的测评要素及评分标准进行独立评分。考生面试结束后，需自行退出考场，不得在考场内逗留。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4.成绩统计与公示：</w:t>
      </w:r>
      <w:r>
        <w:rPr>
          <w:rFonts w:hint="default" w:ascii="仿宋_GB2312" w:hAnsi="仿宋_GB2312" w:eastAsia="仿宋_GB2312" w:cs="仿宋_GB2312"/>
          <w:sz w:val="32"/>
          <w:szCs w:val="32"/>
          <w:highlight w:val="none"/>
          <w:lang w:val="en-US" w:eastAsia="zh-CN"/>
        </w:rPr>
        <w:t>面试结束后，工作人员收回各考官的评分表</w:t>
      </w:r>
      <w:r>
        <w:rPr>
          <w:rFonts w:hint="eastAsia" w:ascii="仿宋_GB2312" w:hAnsi="仿宋_GB2312" w:eastAsia="仿宋_GB2312" w:cs="仿宋_GB2312"/>
          <w:sz w:val="32"/>
          <w:szCs w:val="32"/>
          <w:highlight w:val="none"/>
          <w:lang w:val="en-US" w:eastAsia="zh-CN"/>
        </w:rPr>
        <w:t>进行成绩统计</w:t>
      </w:r>
      <w:r>
        <w:rPr>
          <w:rFonts w:hint="default" w:ascii="仿宋_GB2312" w:hAnsi="仿宋_GB2312" w:eastAsia="仿宋_GB2312" w:cs="仿宋_GB2312"/>
          <w:sz w:val="32"/>
          <w:szCs w:val="32"/>
          <w:highlight w:val="none"/>
          <w:lang w:val="en-US" w:eastAsia="zh-CN"/>
        </w:rPr>
        <w:t>，统分</w:t>
      </w:r>
      <w:r>
        <w:rPr>
          <w:rFonts w:hint="eastAsia" w:ascii="仿宋_GB2312" w:hAnsi="仿宋_GB2312" w:eastAsia="仿宋_GB2312" w:cs="仿宋_GB2312"/>
          <w:sz w:val="32"/>
          <w:szCs w:val="32"/>
          <w:highlight w:val="none"/>
          <w:lang w:val="en-US" w:eastAsia="zh-CN"/>
        </w:rPr>
        <w:t>时去掉一个最高分，去掉一个最低分，取</w:t>
      </w:r>
      <w:r>
        <w:rPr>
          <w:rFonts w:hint="default" w:ascii="仿宋_GB2312" w:hAnsi="仿宋_GB2312" w:eastAsia="仿宋_GB2312" w:cs="仿宋_GB2312"/>
          <w:sz w:val="32"/>
          <w:szCs w:val="32"/>
          <w:highlight w:val="none"/>
          <w:lang w:val="en-US" w:eastAsia="zh-CN"/>
        </w:rPr>
        <w:t>平均分</w:t>
      </w:r>
      <w:r>
        <w:rPr>
          <w:rFonts w:hint="eastAsia" w:ascii="仿宋_GB2312" w:hAnsi="仿宋_GB2312" w:eastAsia="仿宋_GB2312" w:cs="仿宋_GB2312"/>
          <w:sz w:val="32"/>
          <w:szCs w:val="32"/>
          <w:highlight w:val="none"/>
          <w:lang w:val="en-US" w:eastAsia="zh-CN"/>
        </w:rPr>
        <w:t>为最终成绩（保留两位小数）</w:t>
      </w:r>
      <w:r>
        <w:rPr>
          <w:rFonts w:hint="default" w:ascii="仿宋_GB2312" w:hAnsi="仿宋_GB2312" w:eastAsia="仿宋_GB2312" w:cs="仿宋_GB2312"/>
          <w:sz w:val="32"/>
          <w:szCs w:val="32"/>
          <w:highlight w:val="none"/>
          <w:lang w:val="en-US" w:eastAsia="zh-CN"/>
        </w:rPr>
        <w:t>。学院将成绩材料密封</w:t>
      </w:r>
      <w:r>
        <w:rPr>
          <w:rFonts w:hint="eastAsia" w:ascii="仿宋_GB2312" w:hAnsi="仿宋_GB2312" w:eastAsia="仿宋_GB2312" w:cs="仿宋_GB2312"/>
          <w:sz w:val="32"/>
          <w:szCs w:val="32"/>
          <w:highlight w:val="none"/>
          <w:lang w:val="en-US" w:eastAsia="zh-CN"/>
        </w:rPr>
        <w:t>后</w:t>
      </w:r>
      <w:r>
        <w:rPr>
          <w:rFonts w:hint="default" w:ascii="仿宋_GB2312" w:hAnsi="仿宋_GB2312" w:eastAsia="仿宋_GB2312" w:cs="仿宋_GB2312"/>
          <w:sz w:val="32"/>
          <w:szCs w:val="32"/>
          <w:highlight w:val="none"/>
          <w:lang w:val="en-US" w:eastAsia="zh-CN"/>
        </w:rPr>
        <w:t>，立即提交至学校本专科招生工作领导小组进行审核。审核完成后，学校将在招生网站公布综合考查成绩及排名，供考生查询。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（四）考查内容及分值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1.基本素质：考核思想政治素质和品德，包括政治素养、思想表现、道德品质、遵纪守法、诚实守信等方面。存在问题者将终止面试。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highlight w:val="none"/>
          <w:lang w:val="en-US" w:eastAsia="zh-CN"/>
        </w:rPr>
        <w:t>2.</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综合考查：综合考查总成绩为100分，其中专业适应性能力50分，综合能力50分。专业适应性能力包括旅游管理专业理论知识和应用技能的掌握程度，运用所学理论发现、分析和解决问题的能力；综合能力包括培养潜质、退役工作期间表现、事业心、责任感、纪律性、协作性、人文素养与礼仪举止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具体考核标准如下：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专业适应性能力（</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50</w:t>
      </w:r>
      <w:r>
        <w:rPr>
          <w:rFonts w:hint="eastAsia" w:ascii="仿宋_GB2312" w:hAnsi="仿宋_GB2312" w:eastAsia="仿宋_GB2312" w:cs="仿宋_GB2312"/>
          <w:sz w:val="32"/>
          <w:szCs w:val="32"/>
          <w:highlight w:val="none"/>
          <w:lang w:val="en-US" w:eastAsia="zh-CN"/>
        </w:rPr>
        <w:t>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353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宋体" w:cs="仿宋_GB2312"/>
                <w:b/>
                <w:bCs/>
                <w:sz w:val="21"/>
                <w:szCs w:val="32"/>
                <w:highlight w:val="none"/>
                <w:vertAlign w:val="baseline"/>
                <w:lang w:val="en-US" w:eastAsia="zh-CN"/>
              </w:rPr>
            </w:pPr>
            <w:r>
              <w:rPr>
                <w:rFonts w:hint="eastAsia" w:ascii="仿宋_GB2312" w:hAnsi="仿宋_GB2312" w:eastAsia="宋体" w:cs="仿宋_GB2312"/>
                <w:b/>
                <w:bCs/>
                <w:sz w:val="21"/>
                <w:szCs w:val="32"/>
                <w:highlight w:val="none"/>
                <w:vertAlign w:val="baseline"/>
                <w:lang w:val="en-US" w:eastAsia="zh-CN"/>
              </w:rPr>
              <w:t>考核模块</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宋体" w:cs="仿宋_GB2312"/>
                <w:b/>
                <w:bCs/>
                <w:sz w:val="21"/>
                <w:szCs w:val="32"/>
                <w:highlight w:val="none"/>
                <w:vertAlign w:val="baseline"/>
                <w:lang w:val="en-US" w:eastAsia="zh-CN"/>
              </w:rPr>
            </w:pPr>
            <w:r>
              <w:rPr>
                <w:rFonts w:hint="eastAsia" w:ascii="仿宋_GB2312" w:hAnsi="仿宋_GB2312" w:eastAsia="宋体" w:cs="仿宋_GB2312"/>
                <w:b/>
                <w:bCs/>
                <w:sz w:val="21"/>
                <w:szCs w:val="32"/>
                <w:highlight w:val="none"/>
                <w:vertAlign w:val="baseline"/>
                <w:lang w:val="en-US" w:eastAsia="zh-CN"/>
              </w:rPr>
              <w:t>考核项目</w:t>
            </w: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宋体" w:cs="仿宋_GB2312"/>
                <w:b/>
                <w:bCs/>
                <w:sz w:val="21"/>
                <w:szCs w:val="32"/>
                <w:highlight w:val="none"/>
                <w:vertAlign w:val="baseline"/>
                <w:lang w:val="en-US" w:eastAsia="zh-CN"/>
              </w:rPr>
            </w:pPr>
            <w:r>
              <w:rPr>
                <w:rFonts w:hint="eastAsia" w:ascii="仿宋_GB2312" w:hAnsi="仿宋_GB2312" w:eastAsia="宋体" w:cs="仿宋_GB2312"/>
                <w:b/>
                <w:bCs/>
                <w:sz w:val="21"/>
                <w:szCs w:val="32"/>
                <w:highlight w:val="none"/>
                <w:vertAlign w:val="baseline"/>
                <w:lang w:val="en-US" w:eastAsia="zh-CN"/>
              </w:rPr>
              <w:t>具体考核要点</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宋体" w:cs="仿宋_GB2312"/>
                <w:b/>
                <w:bCs/>
                <w:sz w:val="21"/>
                <w:szCs w:val="32"/>
                <w:highlight w:val="none"/>
                <w:vertAlign w:val="baseline"/>
                <w:lang w:val="en-US" w:eastAsia="zh-CN"/>
              </w:rPr>
            </w:pPr>
            <w:r>
              <w:rPr>
                <w:rFonts w:hint="eastAsia" w:ascii="仿宋_GB2312" w:hAnsi="仿宋_GB2312" w:eastAsia="宋体" w:cs="仿宋_GB2312"/>
                <w:b/>
                <w:bCs/>
                <w:sz w:val="21"/>
                <w:szCs w:val="32"/>
                <w:highlight w:val="none"/>
                <w:vertAlign w:val="baseline"/>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旅游基础认知</w:t>
            </w:r>
          </w:p>
        </w:tc>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核心基础掌握程度</w:t>
            </w:r>
          </w:p>
        </w:tc>
        <w:tc>
          <w:tcPr>
            <w:tcW w:w="3532" w:type="dxa"/>
            <w:vAlign w:val="center"/>
          </w:tcPr>
          <w:p>
            <w:pPr>
              <w:snapToGrid w:val="0"/>
              <w:ind w:left="0" w:leftChars="0" w:right="0" w:rightChars="0" w:firstLine="0" w:firstLineChars="0"/>
              <w:jc w:val="both"/>
              <w:rPr>
                <w:rFonts w:hint="eastAsia"/>
                <w:b w:val="0"/>
                <w:i w:val="0"/>
                <w:color w:val="000000"/>
                <w:lang w:val="en-US" w:eastAsia="zh-CN"/>
              </w:rPr>
            </w:pPr>
            <w:r>
              <w:rPr>
                <w:rFonts w:hint="eastAsia"/>
                <w:b w:val="0"/>
                <w:i w:val="0"/>
                <w:color w:val="000000"/>
                <w:lang w:val="en-US" w:eastAsia="zh-CN"/>
              </w:rPr>
              <w:t>1.准确掌握旅游核心基础概念</w:t>
            </w:r>
          </w:p>
          <w:p>
            <w:pPr>
              <w:snapToGrid w:val="0"/>
              <w:ind w:left="0" w:leftChars="0" w:right="0" w:rightChars="0" w:firstLine="0" w:firstLineChars="0"/>
              <w:jc w:val="both"/>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2.能结合海南常见旅游场景进行基础分析</w:t>
            </w:r>
          </w:p>
        </w:tc>
        <w:tc>
          <w:tcPr>
            <w:tcW w:w="7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海南旅游政策了解</w:t>
            </w:r>
          </w:p>
        </w:tc>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政策认知与理解</w:t>
            </w:r>
          </w:p>
        </w:tc>
        <w:tc>
          <w:tcPr>
            <w:tcW w:w="3532" w:type="dxa"/>
            <w:vAlign w:val="center"/>
          </w:tcPr>
          <w:p>
            <w:pPr>
              <w:snapToGrid w:val="0"/>
              <w:ind w:left="0" w:leftChars="0" w:right="0" w:rightChars="0" w:firstLine="0" w:firstLineChars="0"/>
              <w:jc w:val="both"/>
              <w:rPr>
                <w:rFonts w:hint="eastAsia"/>
                <w:b w:val="0"/>
                <w:i w:val="0"/>
                <w:color w:val="000000"/>
                <w:lang w:val="en-US" w:eastAsia="zh-CN"/>
              </w:rPr>
            </w:pPr>
            <w:r>
              <w:rPr>
                <w:rFonts w:hint="eastAsia"/>
                <w:b w:val="0"/>
                <w:i w:val="0"/>
                <w:color w:val="000000"/>
                <w:lang w:val="en-US" w:eastAsia="zh-CN"/>
              </w:rPr>
              <w:t>1.准确说出海南核心旅游政策名称</w:t>
            </w:r>
          </w:p>
          <w:p>
            <w:pPr>
              <w:snapToGrid w:val="0"/>
              <w:ind w:left="0" w:leftChars="0" w:right="0" w:rightChars="0" w:firstLine="0" w:firstLineChars="0"/>
              <w:jc w:val="both"/>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2.清晰简述政策主要内容及对旅游发展的影响</w:t>
            </w:r>
          </w:p>
        </w:tc>
        <w:tc>
          <w:tcPr>
            <w:tcW w:w="7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问题发现与分析逻辑</w:t>
            </w:r>
          </w:p>
        </w:tc>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问题识别与分析能力</w:t>
            </w:r>
          </w:p>
        </w:tc>
        <w:tc>
          <w:tcPr>
            <w:tcW w:w="3532" w:type="dxa"/>
            <w:vAlign w:val="center"/>
          </w:tcPr>
          <w:p>
            <w:pPr>
              <w:snapToGrid w:val="0"/>
              <w:ind w:left="0" w:leftChars="0" w:right="0" w:rightChars="0" w:firstLine="0" w:firstLineChars="0"/>
              <w:jc w:val="both"/>
              <w:rPr>
                <w:rFonts w:hint="eastAsia"/>
                <w:b w:val="0"/>
                <w:i w:val="0"/>
                <w:color w:val="000000"/>
                <w:lang w:val="en-US" w:eastAsia="zh-CN"/>
              </w:rPr>
            </w:pPr>
            <w:r>
              <w:rPr>
                <w:rFonts w:hint="eastAsia"/>
                <w:b w:val="0"/>
                <w:i w:val="0"/>
                <w:color w:val="000000"/>
                <w:lang w:val="en-US" w:eastAsia="zh-CN"/>
              </w:rPr>
              <w:t>1.能精准识别海南旅游常见问题</w:t>
            </w:r>
          </w:p>
          <w:p>
            <w:pPr>
              <w:snapToGrid w:val="0"/>
              <w:ind w:left="0" w:leftChars="0" w:right="0" w:rightChars="0" w:firstLine="0" w:firstLineChars="0"/>
              <w:jc w:val="both"/>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2.运用逻辑思维结合经历分析问题产生的原因</w:t>
            </w:r>
          </w:p>
        </w:tc>
        <w:tc>
          <w:tcPr>
            <w:tcW w:w="7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解决方案创新性</w:t>
            </w:r>
          </w:p>
        </w:tc>
        <w:tc>
          <w:tcPr>
            <w:tcW w:w="21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方案设计与落地性</w:t>
            </w:r>
          </w:p>
        </w:tc>
        <w:tc>
          <w:tcPr>
            <w:tcW w:w="3532" w:type="dxa"/>
            <w:vAlign w:val="center"/>
          </w:tcPr>
          <w:p>
            <w:pPr>
              <w:numPr>
                <w:ilvl w:val="0"/>
                <w:numId w:val="0"/>
              </w:numPr>
              <w:snapToGrid w:val="0"/>
              <w:ind w:leftChars="0" w:right="0" w:rightChars="0"/>
              <w:jc w:val="both"/>
              <w:rPr>
                <w:rFonts w:hint="eastAsia"/>
                <w:b w:val="0"/>
                <w:i w:val="0"/>
                <w:color w:val="000000"/>
                <w:lang w:val="en-US" w:eastAsia="zh-CN"/>
              </w:rPr>
            </w:pPr>
            <w:r>
              <w:rPr>
                <w:rFonts w:hint="eastAsia"/>
                <w:b w:val="0"/>
                <w:i w:val="0"/>
                <w:color w:val="000000"/>
                <w:lang w:val="en-US" w:eastAsia="zh-CN"/>
              </w:rPr>
              <w:t>1.结合海南实际设计解决方案，贴合场景需求</w:t>
            </w:r>
          </w:p>
          <w:p>
            <w:pPr>
              <w:numPr>
                <w:ilvl w:val="0"/>
                <w:numId w:val="0"/>
              </w:numPr>
              <w:snapToGrid w:val="0"/>
              <w:ind w:left="0" w:leftChars="0" w:right="0" w:rightChars="0" w:firstLine="0" w:firstLineChars="0"/>
              <w:jc w:val="both"/>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2.方案具备实操性，兼顾可行性与创新性</w:t>
            </w:r>
          </w:p>
        </w:tc>
        <w:tc>
          <w:tcPr>
            <w:tcW w:w="730" w:type="dxa"/>
            <w:vAlign w:val="center"/>
          </w:tcPr>
          <w:p>
            <w:pPr>
              <w:snapToGrid w:val="0"/>
              <w:ind w:left="0" w:leftChars="0" w:right="0" w:rightChars="0" w:firstLine="0" w:firstLineChars="0"/>
              <w:jc w:val="center"/>
              <w:rPr>
                <w:rFonts w:hint="eastAsia" w:ascii="仿宋_GB2312" w:hAnsi="仿宋_GB2312" w:eastAsia="宋体" w:cs="仿宋_GB2312"/>
                <w:sz w:val="20"/>
                <w:szCs w:val="32"/>
                <w:highlight w:val="none"/>
                <w:vertAlign w:val="baseline"/>
                <w:lang w:val="en-US" w:eastAsia="zh-CN"/>
              </w:rPr>
            </w:pPr>
            <w:r>
              <w:rPr>
                <w:rFonts w:hint="eastAsia"/>
                <w:b w:val="0"/>
                <w:i w:val="0"/>
                <w:color w:val="000000"/>
                <w:lang w:val="en-US" w:eastAsia="zh-CN"/>
              </w:rPr>
              <w:t>5分</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综合能力（</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50</w:t>
      </w:r>
      <w:r>
        <w:rPr>
          <w:rFonts w:hint="eastAsia" w:ascii="仿宋_GB2312" w:hAnsi="仿宋_GB2312" w:eastAsia="仿宋_GB2312" w:cs="仿宋_GB2312"/>
          <w:sz w:val="32"/>
          <w:szCs w:val="32"/>
          <w:highlight w:val="none"/>
          <w:lang w:val="en-US" w:eastAsia="zh-CN"/>
        </w:rPr>
        <w:t>分）</w:t>
      </w:r>
    </w:p>
    <w:tbl>
      <w:tblPr>
        <w:tblStyle w:val="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0"/>
        <w:gridCol w:w="1581"/>
        <w:gridCol w:w="4946"/>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29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i w:val="0"/>
                <w:color w:val="000000"/>
                <w:sz w:val="20"/>
                <w:szCs w:val="20"/>
              </w:rPr>
            </w:pPr>
            <w:r>
              <w:rPr>
                <w:rFonts w:ascii="宋体" w:hAnsi="宋体" w:eastAsia="宋体" w:cs="宋体"/>
                <w:b/>
                <w:i w:val="0"/>
                <w:color w:val="000000"/>
                <w:kern w:val="0"/>
                <w:sz w:val="20"/>
                <w:szCs w:val="20"/>
                <w:lang w:val="en-US" w:eastAsia="zh-CN" w:bidi="ar"/>
              </w:rPr>
              <w:t>考核模块</w:t>
            </w: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i w:val="0"/>
                <w:color w:val="000000"/>
                <w:sz w:val="20"/>
                <w:szCs w:val="20"/>
              </w:rPr>
            </w:pPr>
            <w:r>
              <w:rPr>
                <w:rFonts w:ascii="宋体" w:hAnsi="宋体" w:eastAsia="宋体" w:cs="宋体"/>
                <w:b/>
                <w:i w:val="0"/>
                <w:color w:val="000000"/>
                <w:kern w:val="0"/>
                <w:sz w:val="20"/>
                <w:szCs w:val="20"/>
                <w:lang w:val="en-US" w:eastAsia="zh-CN" w:bidi="ar"/>
              </w:rPr>
              <w:t>考核项目</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i w:val="0"/>
                <w:color w:val="000000"/>
                <w:sz w:val="20"/>
                <w:szCs w:val="20"/>
              </w:rPr>
            </w:pPr>
            <w:r>
              <w:rPr>
                <w:rFonts w:hint="eastAsia"/>
                <w:b/>
                <w:i w:val="0"/>
                <w:color w:val="000000"/>
                <w:lang w:val="en-US" w:eastAsia="zh-CN"/>
              </w:rPr>
              <w:t>具体考核要点</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i w:val="0"/>
                <w:color w:val="000000"/>
                <w:sz w:val="20"/>
                <w:szCs w:val="20"/>
              </w:rPr>
            </w:pPr>
            <w:r>
              <w:rPr>
                <w:rFonts w:ascii="宋体" w:hAnsi="宋体" w:eastAsia="宋体" w:cs="宋体"/>
                <w:b/>
                <w:i w:val="0"/>
                <w:color w:val="000000"/>
                <w:kern w:val="0"/>
                <w:sz w:val="20"/>
                <w:szCs w:val="20"/>
                <w:lang w:val="en-US" w:eastAsia="zh-CN" w:bidi="ar"/>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培养潜质</w:t>
            </w: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学习与适应能力</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自主学习能力强，快速适配旅游岗位，有职业发展潜力</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hint="eastAsia" w:ascii="宋体" w:hAnsi="宋体" w:eastAsia="宋体" w:cs="宋体"/>
                <w:b w:val="0"/>
                <w:i w:val="0"/>
                <w:color w:val="000000"/>
                <w:kern w:val="0"/>
                <w:sz w:val="20"/>
                <w:szCs w:val="20"/>
                <w:lang w:val="en-US" w:eastAsia="zh-CN" w:bidi="ar"/>
              </w:rPr>
              <w:t>10</w:t>
            </w:r>
            <w:r>
              <w:rPr>
                <w:rFonts w:ascii="宋体" w:hAnsi="宋体" w:eastAsia="宋体" w:cs="宋体"/>
                <w:b w:val="0"/>
                <w:i w:val="0"/>
                <w:color w:val="000000"/>
                <w:kern w:val="0"/>
                <w:sz w:val="20"/>
                <w:szCs w:val="20"/>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vMerge w:val="restart"/>
            <w:tcBorders>
              <w:top w:val="single" w:color="000000" w:sz="8" w:space="0"/>
              <w:left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val="0"/>
                <w:i w:val="0"/>
                <w:color w:val="000000"/>
                <w:sz w:val="20"/>
                <w:szCs w:val="20"/>
              </w:rPr>
            </w:pPr>
            <w:r>
              <w:rPr>
                <w:rFonts w:ascii="宋体" w:hAnsi="宋体" w:eastAsia="宋体" w:cs="宋体"/>
                <w:b w:val="0"/>
                <w:i w:val="0"/>
                <w:color w:val="000000"/>
                <w:kern w:val="0"/>
                <w:sz w:val="20"/>
                <w:szCs w:val="20"/>
                <w:lang w:val="en-US" w:eastAsia="zh-CN" w:bidi="ar"/>
              </w:rPr>
              <w:t>职业素养</w:t>
            </w: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事业心</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职业目标明确，主动进取，认同旅游行业前景</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90" w:type="dxa"/>
            <w:vMerge w:val="continue"/>
            <w:tcBorders>
              <w:left w:val="single" w:color="000000" w:sz="8" w:space="0"/>
              <w:right w:val="single" w:color="000000" w:sz="8" w:space="0"/>
            </w:tcBorders>
            <w:shd w:val="clear" w:color="auto" w:fill="FFFFFF"/>
            <w:tcMar>
              <w:top w:w="120" w:type="dxa"/>
              <w:left w:w="120" w:type="dxa"/>
              <w:bottom w:w="120" w:type="dxa"/>
              <w:right w:w="120" w:type="dxa"/>
            </w:tcMar>
            <w:vAlign w:val="center"/>
          </w:tcPr>
          <w:p>
            <w:pPr>
              <w:snapToGrid w:val="0"/>
              <w:ind w:left="0" w:leftChars="0" w:right="0" w:rightChars="0" w:firstLine="0" w:firstLineChars="0"/>
              <w:jc w:val="center"/>
              <w:rPr>
                <w:rFonts w:hint="eastAsia" w:ascii="宋体" w:eastAsia="宋体"/>
                <w:b w:val="0"/>
                <w:i w:val="0"/>
                <w:color w:val="000000"/>
                <w:sz w:val="20"/>
                <w:szCs w:val="20"/>
              </w:rPr>
            </w:pP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责任感</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履职尽责，勇于担当，结合服役经历践行岗位责任</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vMerge w:val="continue"/>
            <w:tcBorders>
              <w:left w:val="single" w:color="000000" w:sz="8" w:space="0"/>
              <w:right w:val="single" w:color="000000" w:sz="8" w:space="0"/>
            </w:tcBorders>
            <w:shd w:val="clear" w:color="auto" w:fill="FFFFFF"/>
            <w:tcMar>
              <w:top w:w="120" w:type="dxa"/>
              <w:left w:w="120" w:type="dxa"/>
              <w:bottom w:w="120" w:type="dxa"/>
              <w:right w:w="120" w:type="dxa"/>
            </w:tcMar>
            <w:vAlign w:val="center"/>
          </w:tcPr>
          <w:p>
            <w:pPr>
              <w:snapToGrid w:val="0"/>
              <w:ind w:left="0" w:leftChars="0" w:right="0" w:rightChars="0" w:firstLine="0" w:firstLineChars="0"/>
              <w:jc w:val="center"/>
              <w:rPr>
                <w:rFonts w:hint="eastAsia" w:ascii="宋体" w:eastAsia="宋体"/>
                <w:b w:val="0"/>
                <w:i w:val="0"/>
                <w:color w:val="000000"/>
                <w:sz w:val="20"/>
                <w:szCs w:val="20"/>
              </w:rPr>
            </w:pP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纪律性</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严守规章制度，自我约束强，保持退役军人纪律作风</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hint="eastAsia" w:ascii="宋体" w:hAnsi="宋体" w:eastAsia="宋体" w:cs="宋体"/>
                <w:b w:val="0"/>
                <w:i w:val="0"/>
                <w:color w:val="000000"/>
                <w:kern w:val="0"/>
                <w:sz w:val="20"/>
                <w:szCs w:val="20"/>
                <w:lang w:val="en-US" w:eastAsia="zh-CN" w:bidi="ar"/>
              </w:rPr>
              <w:t>5</w:t>
            </w:r>
            <w:r>
              <w:rPr>
                <w:rFonts w:ascii="宋体" w:hAnsi="宋体" w:eastAsia="宋体" w:cs="宋体"/>
                <w:b w:val="0"/>
                <w:i w:val="0"/>
                <w:color w:val="000000"/>
                <w:kern w:val="0"/>
                <w:sz w:val="20"/>
                <w:szCs w:val="20"/>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vMerge w:val="continue"/>
            <w:tcBorders>
              <w:left w:val="single" w:color="000000" w:sz="8" w:space="0"/>
              <w:right w:val="single" w:color="000000" w:sz="8" w:space="0"/>
            </w:tcBorders>
            <w:shd w:val="clear" w:color="auto" w:fill="FFFFFF"/>
            <w:tcMar>
              <w:top w:w="120" w:type="dxa"/>
              <w:left w:w="120" w:type="dxa"/>
              <w:bottom w:w="120" w:type="dxa"/>
              <w:right w:w="120" w:type="dxa"/>
            </w:tcMar>
            <w:vAlign w:val="center"/>
          </w:tcPr>
          <w:p>
            <w:pPr>
              <w:snapToGrid w:val="0"/>
              <w:ind w:left="0" w:leftChars="0" w:right="0" w:rightChars="0" w:firstLine="0" w:firstLineChars="0"/>
              <w:jc w:val="center"/>
              <w:rPr>
                <w:rFonts w:hint="eastAsia" w:ascii="宋体" w:eastAsia="宋体"/>
                <w:b w:val="0"/>
                <w:i w:val="0"/>
                <w:color w:val="000000"/>
                <w:sz w:val="20"/>
                <w:szCs w:val="20"/>
              </w:rPr>
            </w:pP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协作性</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团队意识强，善于沟通配合，高效完成协作任务</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hint="eastAsia" w:ascii="宋体" w:hAnsi="宋体" w:eastAsia="宋体" w:cs="宋体"/>
                <w:b w:val="0"/>
                <w:i w:val="0"/>
                <w:color w:val="000000"/>
                <w:kern w:val="0"/>
                <w:sz w:val="20"/>
                <w:szCs w:val="20"/>
                <w:lang w:val="en-US" w:eastAsia="zh-CN" w:bidi="ar"/>
              </w:rPr>
              <w:t>5</w:t>
            </w:r>
            <w:r>
              <w:rPr>
                <w:rFonts w:ascii="宋体" w:hAnsi="宋体" w:eastAsia="宋体" w:cs="宋体"/>
                <w:b w:val="0"/>
                <w:i w:val="0"/>
                <w:color w:val="000000"/>
                <w:kern w:val="0"/>
                <w:sz w:val="20"/>
                <w:szCs w:val="20"/>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vMerge w:val="continue"/>
            <w:tcBorders>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val="0"/>
                <w:i w:val="0"/>
                <w:color w:val="000000"/>
                <w:sz w:val="20"/>
                <w:szCs w:val="20"/>
              </w:rPr>
            </w:pP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服务意识</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具备主动服务意识，贴合旅游服务需求，热心服务游客</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b w:val="0"/>
                <w:i w:val="0"/>
                <w:color w:val="000000"/>
                <w:kern w:val="0"/>
                <w:sz w:val="20"/>
                <w:szCs w:val="20"/>
                <w:lang w:val="en-US" w:eastAsia="zh-CN" w:bidi="ar"/>
              </w:rPr>
            </w:pPr>
            <w:r>
              <w:rPr>
                <w:rFonts w:hint="eastAsia" w:ascii="宋体" w:hAnsi="宋体" w:eastAsia="宋体" w:cs="宋体"/>
                <w:b w:val="0"/>
                <w:i w:val="0"/>
                <w:color w:val="000000"/>
                <w:kern w:val="0"/>
                <w:sz w:val="20"/>
                <w:szCs w:val="20"/>
                <w:lang w:val="en-US" w:eastAsia="zh-CN" w:bidi="ar"/>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vMerge w:val="restart"/>
            <w:tcBorders>
              <w:top w:val="single" w:color="000000" w:sz="8" w:space="0"/>
              <w:left w:val="single" w:color="000000" w:sz="8" w:space="0"/>
              <w:right w:val="single" w:color="000000" w:sz="8" w:space="0"/>
            </w:tcBorders>
            <w:shd w:val="clear" w:color="auto" w:fill="FFFFFF"/>
            <w:tcMar>
              <w:top w:w="120" w:type="dxa"/>
              <w:left w:w="120" w:type="dxa"/>
              <w:bottom w:w="120" w:type="dxa"/>
              <w:right w:w="120" w:type="dxa"/>
            </w:tcMar>
            <w:vAlign w:val="center"/>
          </w:tcPr>
          <w:p>
            <w:pPr>
              <w:snapToGrid w:val="0"/>
              <w:ind w:left="0" w:leftChars="0" w:right="0" w:rightChars="0" w:firstLine="0" w:firstLineChars="0"/>
              <w:jc w:val="center"/>
              <w:rPr>
                <w:rFonts w:hint="eastAsia" w:ascii="宋体" w:eastAsia="宋体"/>
                <w:b w:val="0"/>
                <w:i w:val="0"/>
                <w:color w:val="000000"/>
                <w:sz w:val="20"/>
                <w:szCs w:val="20"/>
              </w:rPr>
            </w:pPr>
            <w:r>
              <w:rPr>
                <w:rFonts w:ascii="宋体" w:hAnsi="宋体" w:eastAsia="宋体" w:cs="宋体"/>
                <w:b w:val="0"/>
                <w:i w:val="0"/>
                <w:color w:val="000000"/>
                <w:kern w:val="0"/>
                <w:sz w:val="20"/>
                <w:szCs w:val="20"/>
                <w:lang w:val="en-US" w:eastAsia="zh-CN" w:bidi="ar"/>
              </w:rPr>
              <w:t>人文与礼仪</w:t>
            </w: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人文素养</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道德品行端正，有社会责任感，尊重包容他人</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90" w:type="dxa"/>
            <w:vMerge w:val="continue"/>
            <w:tcBorders>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val="0"/>
                <w:i w:val="0"/>
                <w:color w:val="000000"/>
                <w:sz w:val="20"/>
                <w:szCs w:val="20"/>
              </w:rPr>
            </w:pPr>
          </w:p>
        </w:tc>
        <w:tc>
          <w:tcPr>
            <w:tcW w:w="1581"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礼仪举止</w:t>
            </w:r>
          </w:p>
        </w:tc>
        <w:tc>
          <w:tcPr>
            <w:tcW w:w="494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ascii="宋体" w:hAnsi="宋体" w:eastAsia="宋体" w:cs="宋体"/>
                <w:b w:val="0"/>
                <w:i w:val="0"/>
                <w:color w:val="000000"/>
                <w:kern w:val="0"/>
                <w:sz w:val="20"/>
                <w:szCs w:val="20"/>
                <w:lang w:val="en-US" w:eastAsia="zh-CN" w:bidi="ar"/>
              </w:rPr>
              <w:t>言行文明得体，着装整洁规范，符合职业形象要求</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b w:val="0"/>
                <w:i w:val="0"/>
                <w:color w:val="000000"/>
                <w:kern w:val="2"/>
                <w:sz w:val="20"/>
                <w:szCs w:val="20"/>
                <w:lang w:val="en-US" w:eastAsia="zh-CN" w:bidi="ar-SA"/>
              </w:rPr>
            </w:pPr>
            <w:r>
              <w:rPr>
                <w:rFonts w:hint="eastAsia" w:ascii="宋体" w:hAnsi="宋体" w:eastAsia="宋体" w:cs="宋体"/>
                <w:b w:val="0"/>
                <w:i w:val="0"/>
                <w:color w:val="000000"/>
                <w:kern w:val="0"/>
                <w:sz w:val="20"/>
                <w:szCs w:val="20"/>
                <w:lang w:val="en-US" w:eastAsia="zh-CN" w:bidi="ar"/>
              </w:rPr>
              <w:t>5</w:t>
            </w:r>
            <w:r>
              <w:rPr>
                <w:rFonts w:ascii="宋体" w:hAnsi="宋体" w:eastAsia="宋体" w:cs="宋体"/>
                <w:b w:val="0"/>
                <w:i w:val="0"/>
                <w:color w:val="000000"/>
                <w:kern w:val="0"/>
                <w:sz w:val="20"/>
                <w:szCs w:val="20"/>
                <w:lang w:val="en-US" w:eastAsia="zh-CN" w:bidi="ar"/>
              </w:rPr>
              <w:t>分</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（五）成绩排序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以综合考查成绩从高到低排序，综合考查分低于</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60</w:t>
      </w:r>
      <w:r>
        <w:rPr>
          <w:rFonts w:hint="eastAsia" w:ascii="仿宋_GB2312" w:hAnsi="仿宋_GB2312" w:eastAsia="仿宋_GB2312" w:cs="仿宋_GB2312"/>
          <w:sz w:val="32"/>
          <w:szCs w:val="32"/>
          <w:highlight w:val="none"/>
          <w:lang w:val="en-US" w:eastAsia="zh-CN"/>
        </w:rPr>
        <w:t>分者不予录取；综合考查分相同的，按专业适应性能力得分从高到低排序；专业适应性能力得分也相同的，按服役期间、在校期间获得的荣誉依次排序。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二、申诉复议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如考生对综合考查成绩有异议，在成绩公示3个工作日内，可向学校招生办公室</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旅游学院纪委实名提出书面申诉。</w:t>
      </w: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highlight w:val="none"/>
        </w:rPr>
        <w:t>联系电话：</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0898-88651897、88659861、88651762</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highlight w:val="none"/>
        </w:rPr>
        <w:t>电子邮箱：</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zs@hntou.edu.cn</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地址：海南省三亚市育才路</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sz w:val="32"/>
          <w:szCs w:val="32"/>
          <w:highlight w:val="none"/>
        </w:rPr>
        <w:t>号海南热带海洋学院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B680B"/>
    <w:rsid w:val="55B66237"/>
    <w:rsid w:val="79C1702A"/>
    <w:rsid w:val="7CCC392C"/>
    <w:rsid w:val="7D57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2026-03-20T00:44:00Z</dcterms:created>
  <dc:creator>kiven</dc:creator>
  <cp:lastModifiedBy>kiven</cp:lastModifiedBy>
  <dcterms:modified xsi:type="dcterms:W3CDTF">2026-03-20T02:41:28Z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